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3188" w14:textId="64CCE8EF" w:rsidR="00D50128" w:rsidRDefault="00DB6AC1" w:rsidP="005833C2">
      <w:pPr>
        <w:pStyle w:val="NormalnyWeb"/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 w:rsidRPr="00345C2B">
        <w:rPr>
          <w:rStyle w:val="Uwydatnienie"/>
          <w:b/>
          <w:bCs/>
          <w:i w:val="0"/>
          <w:iCs w:val="0"/>
        </w:rPr>
        <w:t>Europejski Trybunał Praw Człowieka (dalej ETPC)</w:t>
      </w:r>
      <w:r w:rsidR="00D50128" w:rsidRPr="00345C2B">
        <w:rPr>
          <w:rStyle w:val="Uwydatnienie"/>
          <w:b/>
          <w:bCs/>
          <w:i w:val="0"/>
          <w:iCs w:val="0"/>
        </w:rPr>
        <w:t>, w</w:t>
      </w:r>
      <w:r w:rsidRPr="00345C2B">
        <w:rPr>
          <w:rStyle w:val="Uwydatnienie"/>
          <w:b/>
          <w:bCs/>
          <w:i w:val="0"/>
          <w:iCs w:val="0"/>
        </w:rPr>
        <w:t xml:space="preserve"> </w:t>
      </w:r>
      <w:r w:rsidR="00D50128" w:rsidRPr="00345C2B">
        <w:rPr>
          <w:rStyle w:val="Uwydatnienie"/>
          <w:b/>
          <w:bCs/>
          <w:i w:val="0"/>
          <w:iCs w:val="0"/>
        </w:rPr>
        <w:t xml:space="preserve">decyzji z dnia 14 maja 2013 r. uznał skargę nr 15189/10 </w:t>
      </w:r>
      <w:proofErr w:type="spellStart"/>
      <w:r w:rsidRPr="00345C2B">
        <w:rPr>
          <w:rStyle w:val="Uwydatnienie"/>
          <w:b/>
          <w:bCs/>
          <w:i w:val="0"/>
          <w:iCs w:val="0"/>
        </w:rPr>
        <w:t>Cichopek</w:t>
      </w:r>
      <w:proofErr w:type="spellEnd"/>
      <w:r w:rsidRPr="00345C2B">
        <w:rPr>
          <w:rStyle w:val="Uwydatnienie"/>
          <w:b/>
          <w:bCs/>
          <w:i w:val="0"/>
          <w:iCs w:val="0"/>
        </w:rPr>
        <w:t xml:space="preserve"> i inn</w:t>
      </w:r>
      <w:r w:rsidR="00D50128" w:rsidRPr="00345C2B">
        <w:rPr>
          <w:rStyle w:val="Uwydatnienie"/>
          <w:b/>
          <w:bCs/>
          <w:i w:val="0"/>
          <w:iCs w:val="0"/>
        </w:rPr>
        <w:t>i</w:t>
      </w:r>
      <w:r w:rsidRPr="00345C2B">
        <w:rPr>
          <w:rStyle w:val="Uwydatnienie"/>
          <w:b/>
          <w:bCs/>
          <w:i w:val="0"/>
          <w:iCs w:val="0"/>
        </w:rPr>
        <w:t xml:space="preserve"> </w:t>
      </w:r>
      <w:r w:rsidR="00D50128" w:rsidRPr="00345C2B">
        <w:rPr>
          <w:rStyle w:val="Uwydatnienie"/>
          <w:b/>
          <w:bCs/>
          <w:i w:val="0"/>
          <w:iCs w:val="0"/>
        </w:rPr>
        <w:t xml:space="preserve">przeciwko </w:t>
      </w:r>
      <w:r w:rsidRPr="00345C2B">
        <w:rPr>
          <w:rStyle w:val="Uwydatnienie"/>
          <w:b/>
          <w:bCs/>
          <w:i w:val="0"/>
          <w:iCs w:val="0"/>
        </w:rPr>
        <w:t>Polsce</w:t>
      </w:r>
      <w:r w:rsidR="00D50128">
        <w:rPr>
          <w:rStyle w:val="Uwydatnienie"/>
          <w:i w:val="0"/>
          <w:iCs w:val="0"/>
        </w:rPr>
        <w:t>, w której zakwestionowano legalność</w:t>
      </w:r>
      <w:r w:rsidR="00D90BF6">
        <w:rPr>
          <w:rStyle w:val="Uwydatnienie"/>
          <w:i w:val="0"/>
          <w:iCs w:val="0"/>
        </w:rPr>
        <w:t xml:space="preserve"> zmian wprowadzonych ustawą z dnia</w:t>
      </w:r>
      <w:r w:rsidR="006B7BB2" w:rsidRPr="006B7BB2">
        <w:t xml:space="preserve"> </w:t>
      </w:r>
      <w:r w:rsidR="006B7BB2" w:rsidRPr="006B7BB2">
        <w:rPr>
          <w:rStyle w:val="Uwydatnienie"/>
          <w:i w:val="0"/>
          <w:iCs w:val="0"/>
        </w:rPr>
        <w:t xml:space="preserve">23 stycznia 2009 r. </w:t>
      </w:r>
      <w:r w:rsidR="006B7BB2" w:rsidRPr="006B7BB2">
        <w:rPr>
          <w:rStyle w:val="Uwydatnienie"/>
        </w:rPr>
        <w:t>o zmianie ustawy o zaopatrzeniu emerytalnym żołnierzy zawodowych oraz ich rodzin oraz ustawy o zaopatrzeniu emerytalnym funkcjonariuszy Policji, Agencji Bezpieczeństwa Wewnętrznego, Agencji Wywiadu, Służby Kontrwywiadu Wojskowego, Służby Wywiadu Wojskowego, Centralnego Biura Antykorupcyjnego, Straży Granicznej, Biura Ochrony Rządu, Państwowej Straży Pożarnej i Służby Więziennej oraz ich rodzin (Dz. U. poz. 145)</w:t>
      </w:r>
      <w:r w:rsidR="00D90BF6">
        <w:rPr>
          <w:rStyle w:val="Uwydatnienie"/>
          <w:i w:val="0"/>
          <w:iCs w:val="0"/>
        </w:rPr>
        <w:t xml:space="preserve"> – zmniejszając</w:t>
      </w:r>
      <w:r w:rsidR="006B7BB2">
        <w:rPr>
          <w:rStyle w:val="Uwydatnienie"/>
          <w:i w:val="0"/>
          <w:iCs w:val="0"/>
        </w:rPr>
        <w:t>ych</w:t>
      </w:r>
      <w:r w:rsidR="00D90BF6">
        <w:rPr>
          <w:rStyle w:val="Uwydatnienie"/>
          <w:i w:val="0"/>
          <w:iCs w:val="0"/>
        </w:rPr>
        <w:t xml:space="preserve"> przywileje emerytalne </w:t>
      </w:r>
      <w:r w:rsidR="006B7BB2">
        <w:rPr>
          <w:rStyle w:val="Uwydatnienie"/>
          <w:i w:val="0"/>
          <w:iCs w:val="0"/>
        </w:rPr>
        <w:t xml:space="preserve">byłych funkcjonariuszy służby </w:t>
      </w:r>
      <w:r w:rsidR="00D90BF6">
        <w:rPr>
          <w:rStyle w:val="Uwydatnienie"/>
          <w:i w:val="0"/>
          <w:iCs w:val="0"/>
        </w:rPr>
        <w:t xml:space="preserve">bezpieczeństwa PRL, </w:t>
      </w:r>
      <w:r w:rsidR="00D50128" w:rsidRPr="00345C2B">
        <w:rPr>
          <w:rStyle w:val="Uwydatnienie"/>
          <w:b/>
          <w:bCs/>
          <w:i w:val="0"/>
          <w:iCs w:val="0"/>
        </w:rPr>
        <w:t>za oczywiście bezzasadną</w:t>
      </w:r>
      <w:r w:rsidR="00D50128">
        <w:rPr>
          <w:rStyle w:val="Uwydatnienie"/>
          <w:i w:val="0"/>
          <w:iCs w:val="0"/>
        </w:rPr>
        <w:t>.</w:t>
      </w:r>
    </w:p>
    <w:p w14:paraId="5DCEAD53" w14:textId="4B88741F" w:rsidR="007C635F" w:rsidRDefault="007C635F" w:rsidP="005833C2">
      <w:pPr>
        <w:pStyle w:val="NormalnyWeb"/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Najważniejsze ustalenia zawarte w decyzji ETCS:</w:t>
      </w:r>
    </w:p>
    <w:p w14:paraId="3C25F0B7" w14:textId="29AAE594" w:rsidR="00D5556D" w:rsidRDefault="00D5556D" w:rsidP="005833C2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 w:rsidRPr="00D5556D">
        <w:rPr>
          <w:rStyle w:val="Uwydatnienie"/>
          <w:b/>
          <w:bCs/>
          <w:i w:val="0"/>
          <w:iCs w:val="0"/>
        </w:rPr>
        <w:t xml:space="preserve">ETCS uznał, że przywileje byłych funkcjonariuszy służby bezpieczeństwa PRL zostały uzyskane </w:t>
      </w:r>
      <w:r w:rsidR="00FB3429">
        <w:rPr>
          <w:rStyle w:val="Uwydatnienie"/>
          <w:b/>
          <w:bCs/>
          <w:i w:val="0"/>
          <w:iCs w:val="0"/>
        </w:rPr>
        <w:t xml:space="preserve">w sposób </w:t>
      </w:r>
      <w:r w:rsidRPr="00D5556D">
        <w:rPr>
          <w:rStyle w:val="Uwydatnienie"/>
          <w:b/>
          <w:bCs/>
          <w:i w:val="0"/>
          <w:iCs w:val="0"/>
        </w:rPr>
        <w:t>niesprawiedliw</w:t>
      </w:r>
      <w:r w:rsidR="00FB3429">
        <w:rPr>
          <w:rStyle w:val="Uwydatnienie"/>
          <w:b/>
          <w:bCs/>
          <w:i w:val="0"/>
          <w:iCs w:val="0"/>
        </w:rPr>
        <w:t>y i sprzeczny z wartościami, na których oparta jest Konwencja</w:t>
      </w:r>
      <w:r w:rsidR="00345C2B">
        <w:rPr>
          <w:rStyle w:val="Uwydatnienie"/>
          <w:b/>
          <w:bCs/>
          <w:i w:val="0"/>
          <w:iCs w:val="0"/>
        </w:rPr>
        <w:t xml:space="preserve"> o ochronie praw człowieka i podstawowych wolności</w:t>
      </w:r>
      <w:r>
        <w:rPr>
          <w:rStyle w:val="Uwydatnienie"/>
          <w:i w:val="0"/>
          <w:iCs w:val="0"/>
        </w:rPr>
        <w:t xml:space="preserve">, jako że nabyte zostały w zamian za służbę na rzecz </w:t>
      </w:r>
      <w:r w:rsidR="005833C2">
        <w:rPr>
          <w:rStyle w:val="Uwydatnienie"/>
          <w:i w:val="0"/>
          <w:iCs w:val="0"/>
        </w:rPr>
        <w:t xml:space="preserve">totalitarnego </w:t>
      </w:r>
      <w:r>
        <w:rPr>
          <w:rStyle w:val="Uwydatnienie"/>
          <w:i w:val="0"/>
          <w:iCs w:val="0"/>
        </w:rPr>
        <w:t>systemu politycznego, jaki panował w Polsce w latach 1944-1989, który wrogi był prawom człowieka</w:t>
      </w:r>
      <w:r w:rsidR="006B0598">
        <w:rPr>
          <w:rStyle w:val="Uwydatnienie"/>
          <w:i w:val="0"/>
          <w:iCs w:val="0"/>
        </w:rPr>
        <w:t xml:space="preserve"> i otwarcie zwalczał standardy konwencyjne przy udziale służb</w:t>
      </w:r>
      <w:r w:rsidR="005833C2">
        <w:rPr>
          <w:rStyle w:val="Uwydatnienie"/>
          <w:i w:val="0"/>
          <w:iCs w:val="0"/>
        </w:rPr>
        <w:t>. J</w:t>
      </w:r>
      <w:r>
        <w:rPr>
          <w:rStyle w:val="Uwydatnienie"/>
          <w:i w:val="0"/>
          <w:iCs w:val="0"/>
        </w:rPr>
        <w:t xml:space="preserve">ako takie </w:t>
      </w:r>
      <w:r w:rsidR="005833C2">
        <w:rPr>
          <w:rStyle w:val="Uwydatnienie"/>
          <w:i w:val="0"/>
          <w:iCs w:val="0"/>
        </w:rPr>
        <w:t xml:space="preserve">przywileje te </w:t>
      </w:r>
      <w:r>
        <w:rPr>
          <w:rStyle w:val="Uwydatnienie"/>
          <w:i w:val="0"/>
          <w:iCs w:val="0"/>
        </w:rPr>
        <w:t>pozostają w sprzeczności z duchem i aksjologią Europejskiej Konwencji Praw Człowieka.</w:t>
      </w:r>
    </w:p>
    <w:p w14:paraId="45342B22" w14:textId="77777777" w:rsidR="005833C2" w:rsidRPr="005833C2" w:rsidRDefault="001B76C8" w:rsidP="005833C2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ETCS uznał za usprawiedliwioną – nie naruszającą ochrony mienia gwarantowanej przez art.</w:t>
      </w:r>
      <w:r w:rsidR="005833C2">
        <w:rPr>
          <w:rStyle w:val="Uwydatnienie"/>
          <w:b/>
          <w:bCs/>
          <w:i w:val="0"/>
          <w:iCs w:val="0"/>
        </w:rPr>
        <w:t xml:space="preserve"> </w:t>
      </w:r>
      <w:r>
        <w:rPr>
          <w:rStyle w:val="Uwydatnienie"/>
          <w:b/>
          <w:bCs/>
          <w:i w:val="0"/>
          <w:iCs w:val="0"/>
        </w:rPr>
        <w:t xml:space="preserve">1 Protokołu nr 1 do Konwencji - ingerencję Państwa w sferę praw majątkowych skarżących (obniżenie wysokości świadczeń emerytalnych ustawą z 23 stycznia 2009 r.). </w:t>
      </w:r>
    </w:p>
    <w:p w14:paraId="0B6A3764" w14:textId="1463955E" w:rsidR="001B76C8" w:rsidRDefault="001B76C8" w:rsidP="005833C2">
      <w:pPr>
        <w:pStyle w:val="NormalnyWeb"/>
        <w:spacing w:before="120" w:beforeAutospacing="0" w:after="120" w:afterAutospacing="0" w:line="360" w:lineRule="auto"/>
        <w:ind w:left="720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 xml:space="preserve">Aby ingerencję </w:t>
      </w:r>
      <w:r w:rsidR="001F0BFC">
        <w:rPr>
          <w:rStyle w:val="Uwydatnienie"/>
          <w:i w:val="0"/>
          <w:iCs w:val="0"/>
        </w:rPr>
        <w:t xml:space="preserve">Państwa </w:t>
      </w:r>
      <w:r>
        <w:rPr>
          <w:rStyle w:val="Uwydatnienie"/>
          <w:i w:val="0"/>
          <w:iCs w:val="0"/>
        </w:rPr>
        <w:t>w sferę majątkową obywateli uznać za zgodn</w:t>
      </w:r>
      <w:r w:rsidR="005833C2">
        <w:rPr>
          <w:rStyle w:val="Uwydatnienie"/>
          <w:i w:val="0"/>
          <w:iCs w:val="0"/>
        </w:rPr>
        <w:t>ą</w:t>
      </w:r>
      <w:r>
        <w:rPr>
          <w:rStyle w:val="Uwydatnienie"/>
          <w:i w:val="0"/>
          <w:iCs w:val="0"/>
        </w:rPr>
        <w:t xml:space="preserve"> z art.</w:t>
      </w:r>
      <w:r w:rsidR="005833C2">
        <w:rPr>
          <w:rStyle w:val="Uwydatnienie"/>
          <w:i w:val="0"/>
          <w:iCs w:val="0"/>
        </w:rPr>
        <w:t xml:space="preserve"> </w:t>
      </w:r>
      <w:r>
        <w:rPr>
          <w:rStyle w:val="Uwydatnienie"/>
          <w:i w:val="0"/>
          <w:iCs w:val="0"/>
        </w:rPr>
        <w:t>1 Protokołu nr 1</w:t>
      </w:r>
      <w:r w:rsidR="005833C2">
        <w:rPr>
          <w:rStyle w:val="Uwydatnienie"/>
          <w:i w:val="0"/>
          <w:iCs w:val="0"/>
        </w:rPr>
        <w:t xml:space="preserve"> do Konwencji</w:t>
      </w:r>
      <w:r>
        <w:rPr>
          <w:rStyle w:val="Uwydatnienie"/>
          <w:i w:val="0"/>
          <w:iCs w:val="0"/>
        </w:rPr>
        <w:t>:</w:t>
      </w:r>
    </w:p>
    <w:p w14:paraId="18928A57" w14:textId="1723F20D" w:rsidR="001B76C8" w:rsidRPr="00C4302D" w:rsidRDefault="00C4302D" w:rsidP="005833C2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 w:rsidRPr="00C4302D">
        <w:rPr>
          <w:rStyle w:val="Uwydatnienie"/>
          <w:i w:val="0"/>
          <w:iCs w:val="0"/>
        </w:rPr>
        <w:t>musi ona o</w:t>
      </w:r>
      <w:r w:rsidR="001B76C8" w:rsidRPr="00C4302D">
        <w:rPr>
          <w:rStyle w:val="Uwydatnienie"/>
          <w:i w:val="0"/>
          <w:iCs w:val="0"/>
        </w:rPr>
        <w:t>dbywać się na warunkach przewidzianych przez ustawę orz zgodnie z og</w:t>
      </w:r>
      <w:r w:rsidRPr="00C4302D">
        <w:rPr>
          <w:rStyle w:val="Uwydatnienie"/>
          <w:i w:val="0"/>
          <w:iCs w:val="0"/>
        </w:rPr>
        <w:t>ó</w:t>
      </w:r>
      <w:r w:rsidR="001B76C8" w:rsidRPr="00C4302D">
        <w:rPr>
          <w:rStyle w:val="Uwydatnienie"/>
          <w:i w:val="0"/>
          <w:iCs w:val="0"/>
        </w:rPr>
        <w:t>lnymi zasadami prawa międzynarodowego;</w:t>
      </w:r>
    </w:p>
    <w:p w14:paraId="3B9FC847" w14:textId="4F0181DC" w:rsidR="001B76C8" w:rsidRPr="00C4302D" w:rsidRDefault="00C4302D" w:rsidP="005833C2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 w:rsidRPr="00C4302D">
        <w:rPr>
          <w:rStyle w:val="Uwydatnienie"/>
          <w:i w:val="0"/>
          <w:iCs w:val="0"/>
        </w:rPr>
        <w:t>musi nastąpić dla realizacji uprawnionego celu, jakim jest interes publiczny;</w:t>
      </w:r>
    </w:p>
    <w:p w14:paraId="1B9BDEEE" w14:textId="48660E57" w:rsidR="00C4302D" w:rsidRPr="00C4302D" w:rsidRDefault="00C4302D" w:rsidP="005833C2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 w:rsidRPr="00C4302D">
        <w:rPr>
          <w:rStyle w:val="Uwydatnienie"/>
          <w:i w:val="0"/>
          <w:iCs w:val="0"/>
        </w:rPr>
        <w:t>musi zostać zachowana słuszna równowaga pomiędzy powszechnymi interesami wspólnoty a prawami jednostki.</w:t>
      </w:r>
    </w:p>
    <w:p w14:paraId="6E8BB220" w14:textId="78843B81" w:rsidR="00C4302D" w:rsidRDefault="00C4302D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ETCS potwierdził, że wszystkie ww. przesłanki zostały spełnione</w:t>
      </w:r>
      <w:r w:rsidR="001F0BFC">
        <w:rPr>
          <w:rStyle w:val="Uwydatnienie"/>
          <w:b/>
          <w:bCs/>
          <w:i w:val="0"/>
          <w:iCs w:val="0"/>
        </w:rPr>
        <w:t xml:space="preserve"> w odniesieniu do obniżenia wysokości świadczeń emerytalnych byłych funkcjonariuszy organów bezpieczeństwa PRL</w:t>
      </w:r>
      <w:r w:rsidR="0023782A">
        <w:rPr>
          <w:rStyle w:val="Uwydatnienie"/>
          <w:b/>
          <w:bCs/>
          <w:i w:val="0"/>
          <w:iCs w:val="0"/>
        </w:rPr>
        <w:t>:</w:t>
      </w:r>
    </w:p>
    <w:p w14:paraId="70944666" w14:textId="1D238542" w:rsidR="00FB3429" w:rsidRDefault="00FB3429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lastRenderedPageBreak/>
        <w:t>Ad 1) Ingerencja Państwa nastąpiła na podstawie ustawy z dnia 23 stycznia 2009 r., której konstytucyjność została potwierdzona przez Trybunał Konstytucyjny w wyroku z dnia 24 lutego 2010 r.</w:t>
      </w:r>
    </w:p>
    <w:p w14:paraId="21D73B8E" w14:textId="42AED2AF" w:rsidR="00FB3429" w:rsidRPr="001F0BFC" w:rsidRDefault="00FB3429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 xml:space="preserve">Ad 2) Władze państw, które posiadają bezpośrednią demokratyczną legitymację są w lepszej pozycji do nadawania treści pojęciu interesu publicznego przy uwzględnieniu lokalnych uwarunkowań i potrzeb niż ETCS. </w:t>
      </w:r>
      <w:r w:rsidR="001F0BFC" w:rsidRPr="001F0BFC">
        <w:rPr>
          <w:rStyle w:val="Uwydatnienie"/>
          <w:b/>
          <w:bCs/>
          <w:i w:val="0"/>
          <w:iCs w:val="0"/>
        </w:rPr>
        <w:tab/>
      </w:r>
      <w:r w:rsidR="001F0BFC" w:rsidRPr="001F0BFC">
        <w:rPr>
          <w:rStyle w:val="Uwydatnienie"/>
          <w:i w:val="0"/>
          <w:iCs w:val="0"/>
        </w:rPr>
        <w:t xml:space="preserve">Trybunał </w:t>
      </w:r>
      <w:r w:rsidR="001F0BFC">
        <w:rPr>
          <w:rStyle w:val="Uwydatnienie"/>
          <w:i w:val="0"/>
          <w:iCs w:val="0"/>
        </w:rPr>
        <w:t>uznał</w:t>
      </w:r>
      <w:r w:rsidR="001F0BFC" w:rsidRPr="001F0BFC">
        <w:rPr>
          <w:rStyle w:val="Uwydatnienie"/>
          <w:i w:val="0"/>
          <w:iCs w:val="0"/>
        </w:rPr>
        <w:t xml:space="preserve"> likwidację przywilejów finansowych natury politycznej byłych funkcjonariuszy reżimów totalitarnych przez wyeliminowanie niesprawiedliwych lub nadmiernych świadczeń z ubezpieczeń społecznych otrzymywanych przez członków elity komunistycznej, policji politycznej i sił zbrojnych w krajach postkomunistycznych za uprawniony cel realizowany przez ustawodawcę.</w:t>
      </w:r>
    </w:p>
    <w:p w14:paraId="387CF07B" w14:textId="7E313F92" w:rsidR="005123B5" w:rsidRDefault="005123B5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Ad. 3) Byli funkcjonariusze SB nie zostali pozbawieni świadczeń emerytalnych</w:t>
      </w:r>
      <w:r w:rsidR="00345C2B">
        <w:rPr>
          <w:rStyle w:val="Uwydatnienie"/>
          <w:b/>
          <w:bCs/>
          <w:i w:val="0"/>
          <w:iCs w:val="0"/>
        </w:rPr>
        <w:t>, a jedynie ich niesprawiedliwie nabyte przywileje zostały ograniczone co jest zgodne z zasadą sprawiedliwości społecznej.</w:t>
      </w:r>
      <w:r w:rsidR="001F0BFC" w:rsidRPr="001F0BFC">
        <w:t xml:space="preserve"> </w:t>
      </w:r>
      <w:r w:rsidR="001F0BFC" w:rsidRPr="001F0BFC">
        <w:rPr>
          <w:rStyle w:val="Uwydatnienie"/>
          <w:i w:val="0"/>
          <w:iCs w:val="0"/>
        </w:rPr>
        <w:t>Ustawa z 23 stycznia 2009 r. ograniczyła jedynie wysokość świadczeń emerytalnych dla byłych funkcjonariuszy SB, które i tak pozostały przeciętnie o 58% wyższe od średniej emerytury w systemie powszechnym. Trybunał podkreślił, że emerytury byłych funkcjonariuszy, pomimo obniżenia ich wysokości, są w dalszym ciągu uprzywilejowane w stosunku do emerytur ofiar represji politycznych.</w:t>
      </w:r>
      <w:r w:rsidR="001F0BFC" w:rsidRPr="001F0BFC">
        <w:t xml:space="preserve"> </w:t>
      </w:r>
      <w:r w:rsidR="0023782A">
        <w:t>Wskazał też</w:t>
      </w:r>
      <w:r w:rsidR="001F0BFC" w:rsidRPr="001F0BFC">
        <w:rPr>
          <w:rStyle w:val="Uwydatnienie"/>
          <w:i w:val="0"/>
          <w:iCs w:val="0"/>
        </w:rPr>
        <w:t>, że osoby, które uzyskały przywileje emerytalne w związku ze służbą na rzecz totalitarnego państwa nie mogą oczekiwać, że przywileje te zostaną zachowane po transformacji w system demokratyczny, gdyż nie da się to pogodzić z zasadą sprawiedliwości społecznej.</w:t>
      </w:r>
    </w:p>
    <w:p w14:paraId="05B7A2AB" w14:textId="77777777" w:rsidR="001F0BFC" w:rsidRPr="001F0BFC" w:rsidRDefault="001F0BFC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i w:val="0"/>
          <w:iCs w:val="0"/>
        </w:rPr>
      </w:pPr>
    </w:p>
    <w:p w14:paraId="483C068A" w14:textId="4260AFC9" w:rsidR="00345C2B" w:rsidRDefault="00345C2B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Reasumując, ETPC uznał, że ingerencja Państwa w prawa chronione na podstawie art. 1 Protokołu nr 1 Konwencji (obniżenie wysokości świadczeń emerytalnych) nie naruszyła ich istoty, odbyła się w sposób uprawniony w interesie publicznym iż poszanowaniem zasady zachowania słusznej proporcji</w:t>
      </w:r>
      <w:r w:rsidR="0023782A">
        <w:rPr>
          <w:rStyle w:val="Uwydatnienie"/>
          <w:b/>
          <w:bCs/>
          <w:i w:val="0"/>
          <w:iCs w:val="0"/>
        </w:rPr>
        <w:t>.</w:t>
      </w:r>
    </w:p>
    <w:p w14:paraId="4889E1DF" w14:textId="77777777" w:rsidR="0023782A" w:rsidRDefault="0023782A" w:rsidP="005833C2">
      <w:pPr>
        <w:pStyle w:val="NormalnyWeb"/>
        <w:spacing w:before="120" w:beforeAutospacing="0" w:after="120" w:afterAutospacing="0" w:line="360" w:lineRule="auto"/>
        <w:ind w:left="708"/>
        <w:jc w:val="both"/>
        <w:rPr>
          <w:rStyle w:val="Uwydatnienie"/>
          <w:b/>
          <w:bCs/>
          <w:i w:val="0"/>
          <w:iCs w:val="0"/>
        </w:rPr>
      </w:pPr>
    </w:p>
    <w:p w14:paraId="76D21D13" w14:textId="25E7D6BB" w:rsidR="0023782A" w:rsidRPr="00C3755E" w:rsidRDefault="006B0598" w:rsidP="0023782A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 xml:space="preserve">ETPC stwierdził, że nie ma ograniczeń czasowych, w których proces przekształceń ustrojowych powinien się zakończyć, a wynikające z niego konsekwencje ustalone. </w:t>
      </w:r>
      <w:r w:rsidRPr="006B0598">
        <w:rPr>
          <w:rStyle w:val="Uwydatnienie"/>
          <w:i w:val="0"/>
          <w:iCs w:val="0"/>
        </w:rPr>
        <w:t xml:space="preserve">Z zachowaniem słusznej równowagi w ingerencji w prawa chronione działania w tym </w:t>
      </w:r>
      <w:r w:rsidRPr="006B0598">
        <w:rPr>
          <w:rStyle w:val="Uwydatnienie"/>
          <w:i w:val="0"/>
          <w:iCs w:val="0"/>
        </w:rPr>
        <w:lastRenderedPageBreak/>
        <w:t xml:space="preserve">kierunku mogą być w dalszym ciągu podejmowane, a przywileje uzyskane w </w:t>
      </w:r>
      <w:r>
        <w:rPr>
          <w:rStyle w:val="Uwydatnienie"/>
          <w:i w:val="0"/>
          <w:iCs w:val="0"/>
        </w:rPr>
        <w:t>sposób niesprawiedliwy nie są nienaruszalne.</w:t>
      </w:r>
    </w:p>
    <w:p w14:paraId="0AAB4927" w14:textId="77777777" w:rsidR="00C3755E" w:rsidRDefault="00C3755E" w:rsidP="00C3755E">
      <w:pPr>
        <w:pStyle w:val="NormalnyWeb"/>
        <w:spacing w:before="120" w:beforeAutospacing="0" w:after="120" w:afterAutospacing="0" w:line="360" w:lineRule="auto"/>
        <w:ind w:left="720"/>
        <w:jc w:val="both"/>
        <w:rPr>
          <w:rStyle w:val="Uwydatnienie"/>
          <w:b/>
          <w:bCs/>
          <w:i w:val="0"/>
          <w:iCs w:val="0"/>
        </w:rPr>
      </w:pPr>
    </w:p>
    <w:p w14:paraId="5E772A10" w14:textId="77777777" w:rsidR="0023782A" w:rsidRDefault="0023782A" w:rsidP="006B0598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Jednoznaczność decyzji ETPC:</w:t>
      </w:r>
    </w:p>
    <w:p w14:paraId="2EACF491" w14:textId="37C83C63" w:rsidR="0023782A" w:rsidRDefault="006B0598" w:rsidP="001F0BFC">
      <w:pPr>
        <w:pStyle w:val="NormalnyWeb"/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 xml:space="preserve">ETPC uznał skargi </w:t>
      </w:r>
      <w:proofErr w:type="spellStart"/>
      <w:r>
        <w:rPr>
          <w:rStyle w:val="Uwydatnienie"/>
          <w:i w:val="0"/>
          <w:iCs w:val="0"/>
        </w:rPr>
        <w:t>Cichopek</w:t>
      </w:r>
      <w:proofErr w:type="spellEnd"/>
      <w:r>
        <w:rPr>
          <w:rStyle w:val="Uwydatnienie"/>
          <w:i w:val="0"/>
          <w:iCs w:val="0"/>
        </w:rPr>
        <w:t xml:space="preserve"> i inni przeciwko Polsce za oczywiście bezzasadne – już po wstępnym zapoznaniu się z nimi i bez potrzeby dalszego </w:t>
      </w:r>
      <w:r w:rsidR="00C3755E">
        <w:rPr>
          <w:rStyle w:val="Uwydatnienie"/>
          <w:i w:val="0"/>
          <w:iCs w:val="0"/>
        </w:rPr>
        <w:t>merytorycznego</w:t>
      </w:r>
      <w:r>
        <w:rPr>
          <w:rStyle w:val="Uwydatnienie"/>
          <w:i w:val="0"/>
          <w:iCs w:val="0"/>
        </w:rPr>
        <w:t xml:space="preserve"> procedowania, </w:t>
      </w:r>
      <w:r w:rsidR="00C3755E">
        <w:rPr>
          <w:rStyle w:val="Uwydatnienie"/>
          <w:i w:val="0"/>
          <w:iCs w:val="0"/>
        </w:rPr>
        <w:t>T</w:t>
      </w:r>
      <w:r>
        <w:rPr>
          <w:rStyle w:val="Uwydatnienie"/>
          <w:i w:val="0"/>
          <w:iCs w:val="0"/>
        </w:rPr>
        <w:t xml:space="preserve">rybunał nie dopatrzył się naruszeń prawa chronionych na gruncie </w:t>
      </w:r>
      <w:r w:rsidR="00C3755E">
        <w:rPr>
          <w:rStyle w:val="Uwydatnienie"/>
          <w:i w:val="0"/>
          <w:iCs w:val="0"/>
        </w:rPr>
        <w:t>K</w:t>
      </w:r>
      <w:r>
        <w:rPr>
          <w:rStyle w:val="Uwydatnienie"/>
          <w:i w:val="0"/>
          <w:iCs w:val="0"/>
        </w:rPr>
        <w:t>onwencji</w:t>
      </w:r>
      <w:r w:rsidR="00C3755E">
        <w:rPr>
          <w:rStyle w:val="Uwydatnienie"/>
          <w:i w:val="0"/>
          <w:iCs w:val="0"/>
        </w:rPr>
        <w:t xml:space="preserve"> i protokołów dodatkowych do niej. Orzeczenie zostało wydane przez siedmiu sędziów. Te aspekty proceduralnej natury potwierdzają, ze stanowisko ETPC jest dobitne i stanowcze.</w:t>
      </w:r>
    </w:p>
    <w:p w14:paraId="721C7D82" w14:textId="77777777" w:rsidR="00C3755E" w:rsidRPr="0023782A" w:rsidRDefault="00C3755E" w:rsidP="001F0BFC">
      <w:pPr>
        <w:pStyle w:val="NormalnyWeb"/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</w:p>
    <w:p w14:paraId="28F678D2" w14:textId="1C95821B" w:rsidR="0023782A" w:rsidRDefault="0023782A" w:rsidP="006B0598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  <w:b/>
          <w:bCs/>
          <w:i w:val="0"/>
          <w:iCs w:val="0"/>
        </w:rPr>
        <w:t>Znaczenie decyzji ETPC:</w:t>
      </w:r>
    </w:p>
    <w:p w14:paraId="0C0DB8E3" w14:textId="0A3E09A3" w:rsidR="001B76C8" w:rsidRPr="0023782A" w:rsidRDefault="001F0BFC" w:rsidP="001F0BFC">
      <w:pPr>
        <w:pStyle w:val="NormalnyWeb"/>
        <w:spacing w:before="120" w:beforeAutospacing="0" w:after="120" w:afterAutospacing="0" w:line="360" w:lineRule="auto"/>
        <w:jc w:val="both"/>
        <w:rPr>
          <w:rStyle w:val="Uwydatnienie"/>
          <w:i w:val="0"/>
          <w:iCs w:val="0"/>
        </w:rPr>
      </w:pPr>
      <w:r w:rsidRPr="0023782A">
        <w:rPr>
          <w:rStyle w:val="Uwydatnienie"/>
          <w:i w:val="0"/>
          <w:iCs w:val="0"/>
        </w:rPr>
        <w:t xml:space="preserve">Omawiane orzeczenie kończy dywagacje, czy polski ustawodawca miał prawo ograniczyć świadczenia emerytalne byłym funkcjonariuszom służb bezpieczeństwa PRL. ETPC jednoznacznie potwierdził zgodność tego działania z Konwencją, co potwierdza też prawidłowość stanowiska zajętego przez Trybunał Konstytucyjny w wyroku z dnia 24 lutego 2010 r. i rozwiewa spekulacje co do zgodności ustawy z dnia 23 stycznia 2009 r. </w:t>
      </w:r>
      <w:r w:rsidR="00F472AB" w:rsidRPr="0023782A">
        <w:rPr>
          <w:rStyle w:val="Uwydatnienie"/>
          <w:i w:val="0"/>
          <w:iCs w:val="0"/>
        </w:rPr>
        <w:t xml:space="preserve">ze standardami Konstytucji RP i Konwencji, które mogły się pojawiać w kontekście pięciu zdań odrębnych zgłoszonych do wyroku TK. Nie ma wobec tego </w:t>
      </w:r>
      <w:r w:rsidR="0023782A">
        <w:rPr>
          <w:rStyle w:val="Uwydatnienie"/>
          <w:i w:val="0"/>
          <w:iCs w:val="0"/>
        </w:rPr>
        <w:t xml:space="preserve">de iure </w:t>
      </w:r>
      <w:r w:rsidR="00F472AB" w:rsidRPr="0023782A">
        <w:rPr>
          <w:rStyle w:val="Uwydatnienie"/>
          <w:i w:val="0"/>
          <w:iCs w:val="0"/>
        </w:rPr>
        <w:t xml:space="preserve">potrzeby zmiany ustawy z dnia 23 stycznia 2009 r. </w:t>
      </w:r>
    </w:p>
    <w:p w14:paraId="24835569" w14:textId="77777777" w:rsidR="00F472AB" w:rsidRDefault="00F472AB" w:rsidP="001F0BFC">
      <w:pPr>
        <w:pStyle w:val="NormalnyWeb"/>
        <w:spacing w:before="120" w:beforeAutospacing="0" w:after="120" w:afterAutospacing="0" w:line="360" w:lineRule="auto"/>
        <w:jc w:val="both"/>
        <w:rPr>
          <w:rStyle w:val="Uwydatnienie"/>
          <w:b/>
          <w:bCs/>
          <w:i w:val="0"/>
          <w:iCs w:val="0"/>
        </w:rPr>
      </w:pPr>
    </w:p>
    <w:sectPr w:rsidR="00F4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94B66"/>
    <w:multiLevelType w:val="hybridMultilevel"/>
    <w:tmpl w:val="23D4DCCC"/>
    <w:lvl w:ilvl="0" w:tplc="3B603E8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540B"/>
    <w:multiLevelType w:val="hybridMultilevel"/>
    <w:tmpl w:val="D9E0ED64"/>
    <w:lvl w:ilvl="0" w:tplc="F002FD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33EBF"/>
    <w:multiLevelType w:val="hybridMultilevel"/>
    <w:tmpl w:val="ACD0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9D6"/>
    <w:multiLevelType w:val="hybridMultilevel"/>
    <w:tmpl w:val="AF7EE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9111857">
    <w:abstractNumId w:val="2"/>
  </w:num>
  <w:num w:numId="2" w16cid:durableId="244339036">
    <w:abstractNumId w:val="3"/>
  </w:num>
  <w:num w:numId="3" w16cid:durableId="11495206">
    <w:abstractNumId w:val="1"/>
  </w:num>
  <w:num w:numId="4" w16cid:durableId="9500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C1"/>
    <w:rsid w:val="0000753F"/>
    <w:rsid w:val="001B76C8"/>
    <w:rsid w:val="001F0BFC"/>
    <w:rsid w:val="0023782A"/>
    <w:rsid w:val="002F55E4"/>
    <w:rsid w:val="003218B1"/>
    <w:rsid w:val="00345C2B"/>
    <w:rsid w:val="005123B5"/>
    <w:rsid w:val="005833C2"/>
    <w:rsid w:val="006B0598"/>
    <w:rsid w:val="006B7BB2"/>
    <w:rsid w:val="007C635F"/>
    <w:rsid w:val="0081737A"/>
    <w:rsid w:val="00C3755E"/>
    <w:rsid w:val="00C4302D"/>
    <w:rsid w:val="00D50128"/>
    <w:rsid w:val="00D5556D"/>
    <w:rsid w:val="00D90BF6"/>
    <w:rsid w:val="00DB6AC1"/>
    <w:rsid w:val="00F32554"/>
    <w:rsid w:val="00F472AB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8310"/>
  <w15:chartTrackingRefBased/>
  <w15:docId w15:val="{545B11A4-776B-4B53-B0B6-E09E61B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B6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UDSKIOR UDSKIOR</dc:creator>
  <cp:keywords/>
  <dc:description/>
  <cp:lastModifiedBy>UDSKIOR UDSKIOR</cp:lastModifiedBy>
  <cp:revision>2</cp:revision>
  <dcterms:created xsi:type="dcterms:W3CDTF">2024-12-13T13:27:00Z</dcterms:created>
  <dcterms:modified xsi:type="dcterms:W3CDTF">2024-12-13T13:27:00Z</dcterms:modified>
</cp:coreProperties>
</file>